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4957"/>
      </w:tblGrid>
      <w:tr w:rsidR="007106C9" w:rsidRPr="007106C9" w14:paraId="33D022F1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A8795" w14:textId="77777777" w:rsidR="007106C9" w:rsidRPr="00772E9A" w:rsidRDefault="007106C9" w:rsidP="007106C9">
            <w:pPr>
              <w:spacing w:line="256" w:lineRule="auto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Informačný list predmetu</w:t>
            </w:r>
          </w:p>
        </w:tc>
      </w:tr>
      <w:tr w:rsidR="007106C9" w:rsidRPr="007106C9" w14:paraId="728AC3BC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939C9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Vysoká škola: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Vysoká škola zdravotníctva a sociálnej práce sv. Alžbety v  Bratislave</w:t>
            </w:r>
          </w:p>
        </w:tc>
      </w:tr>
      <w:tr w:rsidR="007106C9" w:rsidRPr="007106C9" w14:paraId="728742D4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FCD4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bCs/>
                <w:sz w:val="16"/>
                <w:szCs w:val="16"/>
              </w:rPr>
              <w:t>Pracovisko: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Katedra psychológie, Bratislava </w:t>
            </w:r>
          </w:p>
        </w:tc>
      </w:tr>
      <w:tr w:rsidR="007106C9" w:rsidRPr="007106C9" w14:paraId="62372A81" w14:textId="77777777" w:rsidTr="007106C9"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BBD9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Kód predmetu: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0-3142w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23EFD" w14:textId="68C9720A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Názov predmetu</w:t>
            </w:r>
            <w:r w:rsidRPr="00772E9A">
              <w:rPr>
                <w:rFonts w:eastAsia="Calibri" w:cstheme="minorHAnsi"/>
                <w:sz w:val="16"/>
                <w:szCs w:val="16"/>
              </w:rPr>
              <w:t>: Základy filozofie</w:t>
            </w:r>
          </w:p>
        </w:tc>
      </w:tr>
      <w:tr w:rsidR="007106C9" w:rsidRPr="007106C9" w14:paraId="5CD107CC" w14:textId="77777777" w:rsidTr="007106C9">
        <w:trPr>
          <w:trHeight w:val="111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7F361" w14:textId="77777777" w:rsidR="006F487D" w:rsidRPr="00772E9A" w:rsidRDefault="007106C9" w:rsidP="006F487D">
            <w:pPr>
              <w:spacing w:line="256" w:lineRule="auto"/>
              <w:contextualSpacing/>
              <w:rPr>
                <w:rFonts w:cstheme="minorHAnsi"/>
                <w:sz w:val="16"/>
                <w:szCs w:val="16"/>
                <w:lang w:eastAsia="sk-SK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Druh, rozsah a metóda vzdelávacích činností: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65C7556E" w14:textId="77777777" w:rsidR="006F487D" w:rsidRPr="00772E9A" w:rsidRDefault="006F487D" w:rsidP="006F487D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772E9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Druh vzdelávacích činností </w:t>
            </w:r>
            <w:r w:rsidRPr="00772E9A">
              <w:rPr>
                <w:rFonts w:eastAsia="Times New Roman" w:cstheme="minorHAnsi"/>
                <w:sz w:val="16"/>
                <w:szCs w:val="16"/>
                <w:lang w:eastAsia="sk-SK"/>
              </w:rPr>
              <w:t>prednáška, seminár;</w:t>
            </w:r>
          </w:p>
          <w:p w14:paraId="2B254DF5" w14:textId="4E38F3F9" w:rsidR="006F487D" w:rsidRPr="00772E9A" w:rsidRDefault="006F487D" w:rsidP="006F487D">
            <w:pPr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</w:pPr>
            <w:r w:rsidRPr="00772E9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>Rozsah vzdelávacích činností: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3 hod./týždeň 2 hod. prednáška, 1 hod. seminár</w:t>
            </w:r>
          </w:p>
          <w:p w14:paraId="6A3DB837" w14:textId="12B65ACD" w:rsidR="007106C9" w:rsidRPr="00772E9A" w:rsidRDefault="006F487D" w:rsidP="006F487D">
            <w:pPr>
              <w:rPr>
                <w:rFonts w:eastAsia="Times New Roman" w:cstheme="minorHAnsi"/>
                <w:sz w:val="16"/>
                <w:szCs w:val="16"/>
                <w:lang w:eastAsia="sk-SK"/>
              </w:rPr>
            </w:pPr>
            <w:r w:rsidRPr="00772E9A">
              <w:rPr>
                <w:rFonts w:eastAsia="Times New Roman" w:cstheme="minorHAnsi"/>
                <w:b/>
                <w:bCs/>
                <w:sz w:val="16"/>
                <w:szCs w:val="16"/>
                <w:lang w:eastAsia="sk-SK"/>
              </w:rPr>
              <w:t xml:space="preserve">Metóda vzdelávacích činností: </w:t>
            </w:r>
            <w:r w:rsidRPr="00772E9A">
              <w:rPr>
                <w:rFonts w:eastAsia="Times New Roman" w:cstheme="minorHAnsi"/>
                <w:sz w:val="16"/>
                <w:szCs w:val="16"/>
                <w:lang w:eastAsia="sk-SK"/>
              </w:rPr>
              <w:t>prezenčná, dištančná (Webex</w:t>
            </w:r>
            <w:r w:rsidR="00205B9D">
              <w:rPr>
                <w:rFonts w:eastAsia="Times New Roman" w:cstheme="minorHAnsi"/>
                <w:sz w:val="16"/>
                <w:szCs w:val="16"/>
                <w:lang w:eastAsia="sk-SK"/>
              </w:rPr>
              <w:t>, Elix</w:t>
            </w:r>
            <w:r w:rsidRPr="00772E9A">
              <w:rPr>
                <w:rFonts w:eastAsia="Times New Roman" w:cstheme="minorHAnsi"/>
                <w:sz w:val="16"/>
                <w:szCs w:val="16"/>
                <w:lang w:eastAsia="sk-SK"/>
              </w:rPr>
              <w:t xml:space="preserve">), kombinovaná; </w:t>
            </w:r>
            <w:r w:rsidR="007106C9" w:rsidRPr="00772E9A">
              <w:rPr>
                <w:rFonts w:eastAsia="Calibri" w:cstheme="minorHAnsi"/>
                <w:sz w:val="16"/>
                <w:szCs w:val="16"/>
              </w:rPr>
              <w:t>forma prezenčná (36 hod.), konzultácie s pedagógom, samoštúdium, príprava na cvičenia (89 hod.), spolu 125 hod.</w:t>
            </w:r>
          </w:p>
        </w:tc>
      </w:tr>
      <w:tr w:rsidR="007106C9" w:rsidRPr="007106C9" w14:paraId="56A13FC5" w14:textId="77777777" w:rsidTr="007106C9">
        <w:trPr>
          <w:trHeight w:val="286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F393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Počet kreditov: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5</w:t>
            </w:r>
          </w:p>
        </w:tc>
      </w:tr>
      <w:tr w:rsidR="007106C9" w:rsidRPr="007106C9" w14:paraId="53B2CD39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83B97" w14:textId="3BD82CA4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Odporúčaný semester/trimester štúdia: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1.</w:t>
            </w:r>
            <w:r w:rsidR="00062D74" w:rsidRPr="00772E9A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Pr="00772E9A">
              <w:rPr>
                <w:rFonts w:eastAsia="Calibri" w:cstheme="minorHAnsi"/>
                <w:sz w:val="16"/>
                <w:szCs w:val="16"/>
              </w:rPr>
              <w:t>semester</w:t>
            </w:r>
          </w:p>
        </w:tc>
      </w:tr>
      <w:tr w:rsidR="007106C9" w:rsidRPr="007106C9" w14:paraId="491F5C2F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7D47C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Stupeň štúdia: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7106C9" w:rsidRPr="007106C9" w14:paraId="185D033C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04752" w14:textId="4008043C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Podmieňujúce predmety: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0F22FC" w:rsidRPr="00772E9A">
              <w:rPr>
                <w:rFonts w:eastAsia="Calibri" w:cstheme="minorHAnsi"/>
                <w:sz w:val="16"/>
                <w:szCs w:val="16"/>
              </w:rPr>
              <w:t xml:space="preserve">bez podmienenia </w:t>
            </w:r>
          </w:p>
        </w:tc>
      </w:tr>
      <w:tr w:rsidR="007106C9" w:rsidRPr="007106C9" w14:paraId="02EAFB55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E498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Podmienky na absolvovanie predmetu: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37BB8638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3018D482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439D419D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7106C9" w:rsidRPr="007106C9" w14:paraId="1A618B6D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9073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 xml:space="preserve">Výsledky vzdelávania: </w:t>
            </w:r>
          </w:p>
          <w:tbl>
            <w:tblPr>
              <w:tblStyle w:val="Mriekatabuky1"/>
              <w:tblW w:w="9096" w:type="dxa"/>
              <w:tblInd w:w="0" w:type="dxa"/>
              <w:tblLook w:val="04A0" w:firstRow="1" w:lastRow="0" w:firstColumn="1" w:lastColumn="0" w:noHBand="0" w:noVBand="1"/>
            </w:tblPr>
            <w:tblGrid>
              <w:gridCol w:w="827"/>
              <w:gridCol w:w="4838"/>
              <w:gridCol w:w="1432"/>
              <w:gridCol w:w="1999"/>
            </w:tblGrid>
            <w:tr w:rsidR="007106C9" w:rsidRPr="00772E9A" w14:paraId="144BB6AF" w14:textId="77777777"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A3178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98A113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683450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24ABB5CF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A8A62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7106C9" w:rsidRPr="00772E9A" w14:paraId="5E602D73" w14:textId="77777777"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AC0C53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1DB38" w14:textId="2FDD9B4D" w:rsidR="007106C9" w:rsidRPr="00772E9A" w:rsidRDefault="007106C9" w:rsidP="000F22FC">
                  <w:pPr>
                    <w:tabs>
                      <w:tab w:val="left" w:pos="720"/>
                      <w:tab w:val="left" w:pos="5529"/>
                    </w:tabs>
                    <w:suppressAutoHyphens/>
                    <w:spacing w:line="256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="000F22FC" w:rsidRPr="00772E9A">
                    <w:rPr>
                      <w:rFonts w:asciiTheme="minorHAnsi" w:hAnsiTheme="minorHAnsi" w:cstheme="minorHAnsi"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>Š</w:t>
                  </w: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tudenti sa oboznámia so základnými oblasťami a témami filozofie a majú prehľad o významných dejinných mysliteľoch. Študenti sú schopní vnímať širšie súvislosti odborných poznatkov. Štúdium filozofie má prispieť k rozvoju nezávislého myslenia a k záujmu študenta o dôležité duchovné a spoločenské hodnoty. Predmet objasňuje aj filozofické východiská mnohých bežne prijímaných psychologických teórií.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F3EE4D" w14:textId="77777777" w:rsidR="007106C9" w:rsidRPr="00772E9A" w:rsidRDefault="007106C9" w:rsidP="007106C9">
                  <w:pPr>
                    <w:spacing w:line="256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9DC95" w14:textId="77777777" w:rsidR="007106C9" w:rsidRPr="00772E9A" w:rsidRDefault="007106C9" w:rsidP="007106C9">
                  <w:pPr>
                    <w:spacing w:line="256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30 bodov), % úspešnosti 61 % - 18 bodov</w:t>
                  </w:r>
                </w:p>
              </w:tc>
            </w:tr>
            <w:tr w:rsidR="007106C9" w:rsidRPr="00772E9A" w14:paraId="173A39A0" w14:textId="77777777"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BC6F24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0F22A" w14:textId="6BBEDFBA" w:rsidR="007106C9" w:rsidRPr="00772E9A" w:rsidRDefault="007106C9" w:rsidP="007106C9">
                  <w:pPr>
                    <w:tabs>
                      <w:tab w:val="left" w:pos="720"/>
                      <w:tab w:val="left" w:pos="5529"/>
                    </w:tabs>
                    <w:suppressAutoHyphens/>
                    <w:spacing w:line="256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="000F22FC" w:rsidRPr="00772E9A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772E9A">
                    <w:rPr>
                      <w:rFonts w:asciiTheme="minorHAnsi" w:hAnsiTheme="minorHAnsi" w:cstheme="minorHAnsi"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>Študenti sú oboznámení s veľkými osobnosťami dejín filozofie a inšpirujú sa nimi. Orientujú sa v jednotlivých veľkých témach filozofie a zvládajú základnú filozofickú terminológiu. Absolvovaním predmetu získajú študenti prehľad o základných filozofických disciplínach, a tým i vhľad do systému ľudského poznania a prístupov k nemu vo význame vedeckom, duchovnom i sociálnom.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7061C" w14:textId="77777777" w:rsidR="007106C9" w:rsidRPr="00772E9A" w:rsidRDefault="007106C9" w:rsidP="007106C9">
                  <w:pPr>
                    <w:spacing w:line="256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D21345" w14:textId="77777777" w:rsidR="007106C9" w:rsidRPr="00772E9A" w:rsidRDefault="007106C9" w:rsidP="007106C9">
                  <w:pPr>
                    <w:spacing w:line="256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 % úspešnosti 61 % - 21 bodov</w:t>
                  </w:r>
                </w:p>
              </w:tc>
            </w:tr>
            <w:tr w:rsidR="007106C9" w:rsidRPr="00772E9A" w14:paraId="1259A60F" w14:textId="77777777">
              <w:tc>
                <w:tcPr>
                  <w:tcW w:w="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C176D5" w14:textId="77777777" w:rsidR="007106C9" w:rsidRPr="00772E9A" w:rsidRDefault="007106C9" w:rsidP="007106C9">
                  <w:pPr>
                    <w:spacing w:line="256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A05843" w14:textId="4870C304" w:rsidR="007106C9" w:rsidRPr="00772E9A" w:rsidRDefault="007106C9" w:rsidP="000F22FC">
                  <w:pPr>
                    <w:tabs>
                      <w:tab w:val="left" w:pos="720"/>
                      <w:tab w:val="left" w:pos="5529"/>
                    </w:tabs>
                    <w:suppressAutoHyphens/>
                    <w:spacing w:line="256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="000F22FC" w:rsidRPr="00772E9A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2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Študenti dokážu vďaka porozumeniu filozofickým východiskám vied zohľadňovať širší kontext vedeckej problematiky. Dokážu korektne myslieť podľa logických zásad myslenia, teda správne argumentovať a zmysluplne sa zapájať do odbornej diskusie. Chápu nemožnosť čierno-bieleho videnia a riešenia problémov, naučia sa byť otvorení voči iným názorom a kriticky ich racionálne prehodnocovať.</w:t>
                  </w: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670F5B" w14:textId="77777777" w:rsidR="007106C9" w:rsidRPr="00772E9A" w:rsidRDefault="007106C9" w:rsidP="007106C9">
                  <w:pPr>
                    <w:spacing w:line="256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Prednášky + cvičenie + samoštúdium + kolokviálna diskusia </w:t>
                  </w:r>
                </w:p>
              </w:tc>
              <w:tc>
                <w:tcPr>
                  <w:tcW w:w="1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4EA33" w14:textId="77777777" w:rsidR="007106C9" w:rsidRPr="00772E9A" w:rsidRDefault="007106C9" w:rsidP="007106C9">
                  <w:pPr>
                    <w:spacing w:line="256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772E9A">
                    <w:rPr>
                      <w:rFonts w:asciiTheme="minorHAnsi" w:eastAsia="Times New Roman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bodov), % úspešnosti 61 % - 21 bodov</w:t>
                  </w:r>
                </w:p>
              </w:tc>
            </w:tr>
          </w:tbl>
          <w:p w14:paraId="144446EC" w14:textId="77777777" w:rsidR="007106C9" w:rsidRPr="00772E9A" w:rsidRDefault="007106C9" w:rsidP="007106C9">
            <w:p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7106C9" w:rsidRPr="007106C9" w14:paraId="50E4C61F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E9736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Stručná osnova predmetu: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</w:t>
            </w:r>
          </w:p>
          <w:p w14:paraId="356BB874" w14:textId="2D74A82F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 xml:space="preserve">Filozofia, jej predmet, metódy a význam v kontexte vedy a kultúry  </w:t>
            </w:r>
          </w:p>
          <w:p w14:paraId="008FF8B6" w14:textId="52349DE6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Ontológia</w:t>
            </w:r>
          </w:p>
          <w:p w14:paraId="2E4504EE" w14:textId="2459EFD7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Teória poznania</w:t>
            </w:r>
          </w:p>
          <w:p w14:paraId="28DAFBC0" w14:textId="070E9017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 xml:space="preserve">Logika </w:t>
            </w:r>
          </w:p>
          <w:p w14:paraId="73F8B932" w14:textId="5F58E50E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Filozofická antropológia</w:t>
            </w:r>
          </w:p>
          <w:p w14:paraId="27E59D74" w14:textId="57CE6E65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Etika a axiológia</w:t>
            </w:r>
          </w:p>
          <w:p w14:paraId="2ED624C3" w14:textId="0F587377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Filozofia transcendencie</w:t>
            </w:r>
          </w:p>
          <w:p w14:paraId="684D1A77" w14:textId="3030DF61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Filozofia a umenie</w:t>
            </w:r>
          </w:p>
          <w:p w14:paraId="70FD27F6" w14:textId="10A753D4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Problém slobody a determinizmu</w:t>
            </w:r>
          </w:p>
          <w:p w14:paraId="3AF2F550" w14:textId="6984E867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Problém "ja" a vedomia</w:t>
            </w:r>
          </w:p>
          <w:p w14:paraId="15B9DC1A" w14:textId="4CB817E8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 xml:space="preserve">Indická a čínska filozofia </w:t>
            </w:r>
          </w:p>
          <w:p w14:paraId="0E728F8E" w14:textId="229A65BE" w:rsidR="007106C9" w:rsidRPr="00772E9A" w:rsidRDefault="007106C9" w:rsidP="000F22FC">
            <w:pPr>
              <w:pStyle w:val="Odsekzoznamu"/>
              <w:numPr>
                <w:ilvl w:val="0"/>
                <w:numId w:val="1"/>
              </w:numPr>
              <w:spacing w:line="256" w:lineRule="auto"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 xml:space="preserve">Spoločné záverečné kolokvium: diskusia o prebratých filozofických témach, interaktívne a hravé príspevky študentov k témam </w:t>
            </w:r>
          </w:p>
          <w:p w14:paraId="163D835A" w14:textId="77777777" w:rsidR="000F22FC" w:rsidRPr="00772E9A" w:rsidRDefault="000F22FC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7106C9" w:rsidRPr="007106C9" w14:paraId="49DD42B9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17677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 xml:space="preserve">Odporúčaná literatúra: </w:t>
            </w:r>
          </w:p>
          <w:p w14:paraId="75F4B652" w14:textId="21D8E396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lastRenderedPageBreak/>
              <w:t>Slavkovský, R.</w:t>
            </w:r>
            <w:r w:rsidR="00BA336C" w:rsidRPr="00772E9A">
              <w:rPr>
                <w:rFonts w:eastAsia="Calibri" w:cstheme="minorHAnsi"/>
                <w:sz w:val="16"/>
                <w:szCs w:val="16"/>
              </w:rPr>
              <w:t>, 2015,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Indická a čínska filozofia. Vysokoškolský učebný text. Trnava: FFTU</w:t>
            </w:r>
            <w:r w:rsidR="00BA336C" w:rsidRPr="00772E9A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480369F0" w14:textId="1CA3399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bookmarkStart w:id="0" w:name="__DdeLink__846_2758297906"/>
            <w:r w:rsidRPr="00772E9A">
              <w:rPr>
                <w:rFonts w:eastAsia="Calibri" w:cstheme="minorHAnsi"/>
                <w:sz w:val="16"/>
                <w:szCs w:val="16"/>
              </w:rPr>
              <w:t>Trajtelová, J.</w:t>
            </w:r>
            <w:r w:rsidR="00BA336C" w:rsidRPr="00772E9A">
              <w:rPr>
                <w:rFonts w:eastAsia="Calibri" w:cstheme="minorHAnsi"/>
                <w:sz w:val="16"/>
                <w:szCs w:val="16"/>
              </w:rPr>
              <w:t>, 2015,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Filozofická antropológia: Vybrané kapitoly</w:t>
            </w:r>
            <w:bookmarkEnd w:id="0"/>
            <w:r w:rsidRPr="00772E9A">
              <w:rPr>
                <w:rFonts w:eastAsia="Calibri" w:cstheme="minorHAnsi"/>
                <w:sz w:val="16"/>
                <w:szCs w:val="16"/>
              </w:rPr>
              <w:t>. Vysokoškolský učebný text. Trnava: FFTU</w:t>
            </w:r>
            <w:r w:rsidR="00BA336C" w:rsidRPr="00772E9A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460409A8" w14:textId="211A7A5D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Trajtelová, J.</w:t>
            </w:r>
            <w:r w:rsidR="00F41A2F" w:rsidRPr="00772E9A">
              <w:rPr>
                <w:rFonts w:eastAsia="Calibri" w:cstheme="minorHAnsi"/>
                <w:sz w:val="16"/>
                <w:szCs w:val="16"/>
              </w:rPr>
              <w:t>, 2015,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Filozofia transcendencie. Vysokoškolský učebný text. Trnava: FFTU</w:t>
            </w:r>
            <w:r w:rsidR="00F41A2F" w:rsidRPr="00772E9A"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1AE6A0E5" w14:textId="77777777" w:rsidR="00066E19" w:rsidRPr="00772E9A" w:rsidRDefault="00066E19" w:rsidP="00066E1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Anzenbacher, A., 2004, Úvod do filosofie. Praha, Portál.</w:t>
            </w:r>
          </w:p>
          <w:p w14:paraId="1CB728B7" w14:textId="77777777" w:rsidR="00066E19" w:rsidRPr="00772E9A" w:rsidRDefault="00066E19" w:rsidP="00066E1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>Hirschberger, J., 1999, Krátke dejiny filozofie. Trnava: Dobrá kniha.</w:t>
            </w:r>
          </w:p>
          <w:p w14:paraId="419D2B30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sz w:val="16"/>
                <w:szCs w:val="16"/>
              </w:rPr>
              <w:t xml:space="preserve">+ vybrané krátke originálne texty filozofov </w:t>
            </w:r>
          </w:p>
          <w:p w14:paraId="23F35A55" w14:textId="77777777" w:rsidR="00E57947" w:rsidRPr="00772E9A" w:rsidRDefault="00E57947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7106C9" w:rsidRPr="007106C9" w14:paraId="16896618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96DD" w14:textId="20F815D5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lastRenderedPageBreak/>
              <w:t xml:space="preserve">Jazyk, ktorého znalosť je potrebná na absolvovanie predmetu: </w:t>
            </w:r>
            <w:r w:rsidRPr="00772E9A">
              <w:rPr>
                <w:rFonts w:eastAsia="Calibri" w:cstheme="minorHAnsi"/>
                <w:sz w:val="16"/>
                <w:szCs w:val="16"/>
              </w:rPr>
              <w:t>slovenský</w:t>
            </w:r>
            <w:r w:rsidR="00EA66A2" w:rsidRPr="00772E9A">
              <w:rPr>
                <w:rFonts w:eastAsia="Calibri" w:cstheme="minorHAnsi"/>
                <w:sz w:val="16"/>
                <w:szCs w:val="16"/>
              </w:rPr>
              <w:t xml:space="preserve"> jazyk </w:t>
            </w:r>
          </w:p>
        </w:tc>
      </w:tr>
      <w:tr w:rsidR="007106C9" w:rsidRPr="007106C9" w14:paraId="45BA7ED5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6766" w14:textId="4939D1DA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 xml:space="preserve">Poznámky: </w:t>
            </w:r>
            <w:r w:rsidR="00E24D9F" w:rsidRPr="00772E9A">
              <w:rPr>
                <w:rFonts w:eastAsia="Calibri" w:cstheme="minorHAnsi"/>
                <w:bCs/>
                <w:sz w:val="16"/>
                <w:szCs w:val="16"/>
              </w:rPr>
              <w:t>povinný predmet</w:t>
            </w:r>
            <w:r w:rsidR="00E24D9F" w:rsidRPr="00772E9A">
              <w:rPr>
                <w:rFonts w:eastAsia="Calibr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7106C9" w:rsidRPr="007106C9" w14:paraId="02C2F84C" w14:textId="77777777" w:rsidTr="00E24D9F">
        <w:trPr>
          <w:trHeight w:val="1370"/>
        </w:trPr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95DC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>Hodnotenie predmetov</w:t>
            </w:r>
          </w:p>
          <w:p w14:paraId="7CE4B26F" w14:textId="77777777" w:rsidR="00C23F61" w:rsidRPr="00772E9A" w:rsidRDefault="00C23F61" w:rsidP="007106C9">
            <w:pPr>
              <w:spacing w:line="256" w:lineRule="auto"/>
              <w:contextualSpacing/>
              <w:rPr>
                <w:rFonts w:eastAsia="Calibri" w:cstheme="minorHAnsi"/>
                <w:b/>
                <w:sz w:val="16"/>
                <w:szCs w:val="16"/>
              </w:rPr>
            </w:pPr>
          </w:p>
          <w:tbl>
            <w:tblPr>
              <w:tblW w:w="8982" w:type="dxa"/>
              <w:tblLook w:val="04A0" w:firstRow="1" w:lastRow="0" w:firstColumn="1" w:lastColumn="0" w:noHBand="0" w:noVBand="1"/>
            </w:tblPr>
            <w:tblGrid>
              <w:gridCol w:w="1497"/>
              <w:gridCol w:w="1494"/>
              <w:gridCol w:w="1495"/>
              <w:gridCol w:w="1496"/>
              <w:gridCol w:w="1495"/>
              <w:gridCol w:w="1505"/>
            </w:tblGrid>
            <w:tr w:rsidR="007106C9" w:rsidRPr="00772E9A" w14:paraId="1EC3CC15" w14:textId="77777777">
              <w:trPr>
                <w:trHeight w:val="357"/>
              </w:trPr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A1E2A8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80F052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90307D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A0F5D1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031491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38B6A5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7106C9" w:rsidRPr="00772E9A" w14:paraId="1A5B72C5" w14:textId="77777777" w:rsidTr="00E24D9F">
              <w:trPr>
                <w:trHeight w:val="444"/>
              </w:trPr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87909EF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7EFA87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32%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5DEBAD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25%</w:t>
                  </w:r>
                </w:p>
              </w:tc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27357E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9%</w:t>
                  </w:r>
                </w:p>
              </w:tc>
              <w:tc>
                <w:tcPr>
                  <w:tcW w:w="1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3C2752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11%</w:t>
                  </w:r>
                </w:p>
              </w:tc>
              <w:tc>
                <w:tcPr>
                  <w:tcW w:w="1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BD5B11" w14:textId="77777777" w:rsidR="007106C9" w:rsidRPr="00772E9A" w:rsidRDefault="007106C9" w:rsidP="007106C9">
                  <w:pPr>
                    <w:spacing w:line="256" w:lineRule="auto"/>
                    <w:contextualSpacing/>
                    <w:jc w:val="center"/>
                    <w:rPr>
                      <w:rFonts w:eastAsia="Calibri" w:cstheme="minorHAnsi"/>
                      <w:sz w:val="16"/>
                      <w:szCs w:val="16"/>
                    </w:rPr>
                  </w:pPr>
                  <w:r w:rsidRPr="00772E9A">
                    <w:rPr>
                      <w:rFonts w:eastAsia="Calibri" w:cstheme="minorHAnsi"/>
                      <w:sz w:val="16"/>
                      <w:szCs w:val="16"/>
                    </w:rPr>
                    <w:t>0%</w:t>
                  </w:r>
                </w:p>
              </w:tc>
            </w:tr>
          </w:tbl>
          <w:p w14:paraId="414EB001" w14:textId="77777777" w:rsidR="007106C9" w:rsidRPr="00772E9A" w:rsidRDefault="007106C9" w:rsidP="007106C9">
            <w:pPr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7106C9" w:rsidRPr="007106C9" w14:paraId="2CBA35E6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3E99" w14:textId="77777777" w:rsidR="007106C9" w:rsidRPr="00772E9A" w:rsidRDefault="007106C9" w:rsidP="007106C9">
            <w:pPr>
              <w:tabs>
                <w:tab w:val="left" w:pos="1530"/>
              </w:tabs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sz w:val="16"/>
                <w:szCs w:val="16"/>
              </w:rPr>
              <w:t xml:space="preserve">Vyučujúci: </w:t>
            </w:r>
            <w:r w:rsidRPr="00772E9A">
              <w:rPr>
                <w:rFonts w:eastAsia="Calibri" w:cstheme="minorHAnsi"/>
                <w:sz w:val="16"/>
                <w:szCs w:val="16"/>
              </w:rPr>
              <w:t>Mgr. Jana Kutášová Trajtelová, PhD.</w:t>
            </w:r>
          </w:p>
        </w:tc>
      </w:tr>
      <w:tr w:rsidR="007106C9" w:rsidRPr="007106C9" w14:paraId="1FEC4D54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7981" w14:textId="77777777" w:rsidR="007106C9" w:rsidRPr="00772E9A" w:rsidRDefault="007106C9" w:rsidP="007106C9">
            <w:pPr>
              <w:tabs>
                <w:tab w:val="left" w:pos="1530"/>
              </w:tabs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Dátum poslednej zmeny: </w:t>
            </w:r>
            <w:r w:rsidRPr="00772E9A">
              <w:rPr>
                <w:rFonts w:eastAsia="Calibri" w:cstheme="minorHAnsi"/>
                <w:sz w:val="16"/>
                <w:szCs w:val="16"/>
              </w:rPr>
              <w:t>24.08.2023</w:t>
            </w:r>
          </w:p>
        </w:tc>
      </w:tr>
      <w:tr w:rsidR="007106C9" w:rsidRPr="007106C9" w14:paraId="2DB38F46" w14:textId="77777777" w:rsidTr="007106C9">
        <w:tc>
          <w:tcPr>
            <w:tcW w:w="9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4A56" w14:textId="77777777" w:rsidR="007106C9" w:rsidRPr="00772E9A" w:rsidRDefault="007106C9" w:rsidP="007106C9">
            <w:pPr>
              <w:tabs>
                <w:tab w:val="left" w:pos="1530"/>
              </w:tabs>
              <w:spacing w:line="256" w:lineRule="auto"/>
              <w:contextualSpacing/>
              <w:rPr>
                <w:rFonts w:eastAsia="Calibri" w:cstheme="minorHAnsi"/>
                <w:sz w:val="16"/>
                <w:szCs w:val="16"/>
              </w:rPr>
            </w:pPr>
            <w:r w:rsidRPr="00772E9A">
              <w:rPr>
                <w:rFonts w:eastAsia="Calibri" w:cstheme="minorHAnsi"/>
                <w:b/>
                <w:bCs/>
                <w:sz w:val="16"/>
                <w:szCs w:val="16"/>
              </w:rPr>
              <w:t>Schválil:</w:t>
            </w:r>
            <w:r w:rsidRPr="00772E9A">
              <w:rPr>
                <w:rFonts w:eastAsia="Calibr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03AB7555" w14:textId="77777777" w:rsidR="00B20ECF" w:rsidRPr="005D1E45" w:rsidRDefault="00B20ECF">
      <w:pPr>
        <w:rPr>
          <w:rFonts w:cstheme="minorHAnsi"/>
          <w:sz w:val="20"/>
          <w:szCs w:val="20"/>
        </w:rPr>
      </w:pPr>
    </w:p>
    <w:sectPr w:rsidR="00B20ECF" w:rsidRPr="005D1E4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328F6"/>
    <w:multiLevelType w:val="hybridMultilevel"/>
    <w:tmpl w:val="603A0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F3ED0"/>
    <w:multiLevelType w:val="hybridMultilevel"/>
    <w:tmpl w:val="A97A19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053248">
    <w:abstractNumId w:val="0"/>
  </w:num>
  <w:num w:numId="2" w16cid:durableId="6351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CF"/>
    <w:rsid w:val="000320DD"/>
    <w:rsid w:val="00046A9C"/>
    <w:rsid w:val="00062D74"/>
    <w:rsid w:val="00066E19"/>
    <w:rsid w:val="000F173C"/>
    <w:rsid w:val="000F22FC"/>
    <w:rsid w:val="00155865"/>
    <w:rsid w:val="00205B9D"/>
    <w:rsid w:val="002578C2"/>
    <w:rsid w:val="00363373"/>
    <w:rsid w:val="00494B9B"/>
    <w:rsid w:val="005D1E45"/>
    <w:rsid w:val="00666E2E"/>
    <w:rsid w:val="00685D93"/>
    <w:rsid w:val="006F487D"/>
    <w:rsid w:val="007106C9"/>
    <w:rsid w:val="00720389"/>
    <w:rsid w:val="0073160E"/>
    <w:rsid w:val="00772E9A"/>
    <w:rsid w:val="00776F0F"/>
    <w:rsid w:val="00823448"/>
    <w:rsid w:val="008C444D"/>
    <w:rsid w:val="009C26AA"/>
    <w:rsid w:val="00AA611D"/>
    <w:rsid w:val="00B20ECF"/>
    <w:rsid w:val="00B227D0"/>
    <w:rsid w:val="00B26968"/>
    <w:rsid w:val="00BA336C"/>
    <w:rsid w:val="00C23F61"/>
    <w:rsid w:val="00D031D9"/>
    <w:rsid w:val="00DC1261"/>
    <w:rsid w:val="00E24D9F"/>
    <w:rsid w:val="00E2513D"/>
    <w:rsid w:val="00E57947"/>
    <w:rsid w:val="00EA66A2"/>
    <w:rsid w:val="00F41A2F"/>
    <w:rsid w:val="00F60AC2"/>
    <w:rsid w:val="00F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74FA"/>
  <w15:docId w15:val="{15BC3608-9A12-4791-99D9-03B99474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2341"/>
    <w:pPr>
      <w:spacing w:after="160" w:line="259" w:lineRule="auto"/>
    </w:pPr>
    <w:rPr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table" w:styleId="Mriekatabuky">
    <w:name w:val="Table Grid"/>
    <w:basedOn w:val="Normlnatabuka"/>
    <w:uiPriority w:val="59"/>
    <w:rsid w:val="008C444D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C444D"/>
    <w:pPr>
      <w:tabs>
        <w:tab w:val="left" w:pos="720"/>
        <w:tab w:val="left" w:pos="5529"/>
      </w:tabs>
      <w:suppressAutoHyphens/>
      <w:autoSpaceDN w:val="0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table" w:customStyle="1" w:styleId="Mriekatabuky1">
    <w:name w:val="Mriežka tabuľky1"/>
    <w:basedOn w:val="Normlnatabuka"/>
    <w:next w:val="Mriekatabuky"/>
    <w:uiPriority w:val="59"/>
    <w:rsid w:val="007106C9"/>
    <w:rPr>
      <w:rFonts w:ascii="Calibri" w:eastAsia="Calibri" w:hAnsi="Calibri" w:cs="Calibri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Nociar</dc:creator>
  <dc:description/>
  <cp:lastModifiedBy>Sona Rossi</cp:lastModifiedBy>
  <cp:revision>38</cp:revision>
  <dcterms:created xsi:type="dcterms:W3CDTF">2023-03-21T07:27:00Z</dcterms:created>
  <dcterms:modified xsi:type="dcterms:W3CDTF">2023-09-18T08:35:00Z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